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50066087"/>
      <w:bookmarkEnd w:id="0"/>
      <w:bookmarkStart w:id="1" w:name="_Hlt450051172"/>
      <w:bookmarkEnd w:id="1"/>
      <w:bookmarkStart w:id="2" w:name="_Hlt449016246"/>
      <w:bookmarkEnd w:id="2"/>
      <w:bookmarkStart w:id="3" w:name="_Hlt448930105"/>
      <w:bookmarkEnd w:id="3"/>
      <w:bookmarkStart w:id="4" w:name="_Hlt450039480"/>
      <w:bookmarkEnd w:id="4"/>
      <w:bookmarkStart w:id="5" w:name="_Hlt450066085"/>
      <w:bookmarkEnd w:id="5"/>
      <w:bookmarkStart w:id="6" w:name="_Ref46524413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eastAsia="zh-CN"/>
        </w:rPr>
        <w:t>1</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905545</w:t>
      </w:r>
      <w:bookmarkStart w:id="7" w:name="_GoBack"/>
      <w:bookmarkEnd w:id="7"/>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eastAsia="宋体"/>
          <w:b/>
          <w:sz w:val="24"/>
          <w:szCs w:val="24"/>
          <w:lang w:eastAsia="zh-CN"/>
        </w:rPr>
        <w:t>Reno, US</w:t>
      </w:r>
      <w:r>
        <w:rPr>
          <w:rFonts w:ascii="Arial" w:hAnsi="Arial" w:eastAsia="宋体"/>
          <w:b/>
          <w:sz w:val="24"/>
          <w:szCs w:val="24"/>
          <w:lang w:eastAsia="zh-CN"/>
        </w:rPr>
        <w:t xml:space="preserve">, </w:t>
      </w:r>
      <w:r>
        <w:rPr>
          <w:rFonts w:hint="eastAsia" w:ascii="Arial" w:hAnsi="Arial" w:eastAsia="宋体"/>
          <w:b/>
          <w:sz w:val="24"/>
          <w:szCs w:val="24"/>
          <w:lang w:eastAsia="zh-CN"/>
        </w:rPr>
        <w:t>13</w:t>
      </w:r>
      <w:r>
        <w:rPr>
          <w:rFonts w:ascii="Arial" w:hAnsi="Arial" w:eastAsia="宋体"/>
          <w:b/>
          <w:sz w:val="24"/>
          <w:szCs w:val="24"/>
          <w:vertAlign w:val="superscript"/>
          <w:lang w:eastAsia="zh-CN"/>
        </w:rPr>
        <w:t>th</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1</w:t>
      </w:r>
      <w:r>
        <w:rPr>
          <w:rFonts w:hint="eastAsia" w:ascii="Arial" w:hAnsi="Arial" w:eastAsia="宋体"/>
          <w:b/>
          <w:sz w:val="24"/>
          <w:szCs w:val="24"/>
          <w:lang w:eastAsia="zh-CN"/>
        </w:rPr>
        <w:t>7</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ascii="Arial" w:hAnsi="Arial" w:eastAsia="宋体"/>
          <w:b/>
          <w:sz w:val="24"/>
          <w:szCs w:val="24"/>
          <w:lang w:eastAsia="zh-CN"/>
        </w:rPr>
        <w:t>May</w:t>
      </w:r>
      <w:r>
        <w:rPr>
          <w:rFonts w:ascii="Arial" w:hAnsi="Arial" w:eastAsia="宋体"/>
          <w:b/>
          <w:sz w:val="24"/>
          <w:szCs w:val="24"/>
          <w:lang w:eastAsia="zh-CN"/>
        </w:rPr>
        <w:t>, 2019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Further discussion on the frequency range for EMC RE test</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sz w:val="22"/>
          <w:szCs w:val="22"/>
          <w:lang w:val="en-US" w:eastAsia="zh-CN"/>
        </w:rPr>
        <w:t>6.9.2.1</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default"/>
          <w:color w:val="000000" w:themeColor="text1"/>
          <w:sz w:val="20"/>
          <w:lang w:val="en-US" w:eastAsia="zh-CN"/>
          <w14:textFill>
            <w14:solidFill>
              <w14:schemeClr w14:val="tx1"/>
            </w14:solidFill>
          </w14:textFill>
        </w:rPr>
      </w:pPr>
      <w:r>
        <w:rPr>
          <w:rFonts w:hint="eastAsia"/>
          <w:color w:val="000000" w:themeColor="text1"/>
          <w:sz w:val="20"/>
          <w:lang w:val="en-US" w:eastAsia="zh-CN"/>
          <w14:textFill>
            <w14:solidFill>
              <w14:schemeClr w14:val="tx1"/>
            </w14:solidFill>
          </w14:textFill>
        </w:rPr>
        <w:t xml:space="preserve">The contribution [1] in RAN4#90bis gave a suggestion to update the upper frequency for NR BS RE test from 12.75GHz to 5th harmonic of the DL operating band for BS type 1-C and BS type 1-H. In this contribution, we further analysis the necessity of the higher frequency range in NR BS RE </w:t>
      </w:r>
      <w:r>
        <w:rPr>
          <w:rFonts w:hint="eastAsia"/>
          <w:lang w:val="en-US" w:eastAsia="zh-CN"/>
        </w:rPr>
        <w:t>test.</w:t>
      </w:r>
      <w:r>
        <w:rPr>
          <w:rFonts w:hint="eastAsia"/>
          <w:color w:val="000000" w:themeColor="text1"/>
          <w:sz w:val="20"/>
          <w:lang w:val="en-US" w:eastAsia="zh-CN"/>
          <w14:textFill>
            <w14:solidFill>
              <w14:schemeClr w14:val="tx1"/>
            </w14:solidFill>
          </w14:textFill>
        </w:rPr>
        <w:t xml:space="preserve"> </w:t>
      </w:r>
    </w:p>
    <w:p>
      <w:pPr>
        <w:pStyle w:val="2"/>
        <w:rPr>
          <w:lang w:eastAsia="zh-CN"/>
        </w:rPr>
      </w:pPr>
      <w:r>
        <w:rPr>
          <w:lang w:eastAsia="zh-CN"/>
        </w:rPr>
        <w:t>Discussion</w:t>
      </w:r>
    </w:p>
    <w:p>
      <w:pPr>
        <w:rPr>
          <w:rFonts w:hint="eastAsia" w:eastAsia="Times New Roman" w:cs="Times New Roman"/>
          <w:lang w:val="en-US" w:eastAsia="zh-CN" w:bidi="ar-SA"/>
        </w:rPr>
      </w:pPr>
      <w:r>
        <w:rPr>
          <w:rFonts w:hint="eastAsia"/>
          <w:color w:val="000000" w:themeColor="text1"/>
          <w:sz w:val="20"/>
          <w:lang w:val="en-US" w:eastAsia="zh-CN"/>
          <w14:textFill>
            <w14:solidFill>
              <w14:schemeClr w14:val="tx1"/>
            </w14:solidFill>
          </w14:textFill>
        </w:rPr>
        <w:t xml:space="preserve">In current </w:t>
      </w:r>
      <w:r>
        <w:rPr>
          <w:rFonts w:hint="default"/>
          <w:color w:val="000000" w:themeColor="text1"/>
          <w:sz w:val="20"/>
          <w:lang w:val="en-US" w:eastAsia="zh-CN"/>
          <w14:textFill>
            <w14:solidFill>
              <w14:schemeClr w14:val="tx1"/>
            </w14:solidFill>
          </w14:textFill>
        </w:rPr>
        <w:t>TS38.113</w:t>
      </w:r>
      <w:r>
        <w:rPr>
          <w:rFonts w:hint="eastAsia"/>
          <w:color w:val="000000" w:themeColor="text1"/>
          <w:sz w:val="20"/>
          <w:lang w:val="en-US" w:eastAsia="zh-CN"/>
          <w14:textFill>
            <w14:solidFill>
              <w14:schemeClr w14:val="tx1"/>
            </w14:solidFill>
          </w14:textFill>
        </w:rPr>
        <w:t xml:space="preserve">[2], the </w:t>
      </w:r>
      <w:r>
        <w:rPr>
          <w:rFonts w:ascii="Times New Roman" w:hAnsi="Times New Roman" w:eastAsia="Times New Roman" w:cs="Times New Roman"/>
          <w:lang w:val="en-GB" w:eastAsia="en-GB" w:bidi="ar-SA"/>
        </w:rPr>
        <w:t>frequency range </w:t>
      </w:r>
      <w:r>
        <w:rPr>
          <w:rFonts w:hint="eastAsia" w:cs="Times New Roman"/>
          <w:lang w:val="en-US" w:eastAsia="zh-CN" w:bidi="ar-SA"/>
        </w:rPr>
        <w:t xml:space="preserve">for </w:t>
      </w:r>
      <w:r>
        <w:rPr>
          <w:rFonts w:hint="eastAsia"/>
          <w:color w:val="000000" w:themeColor="text1"/>
          <w:sz w:val="20"/>
          <w:lang w:val="en-US" w:eastAsia="zh-CN"/>
          <w14:textFill>
            <w14:solidFill>
              <w14:schemeClr w14:val="tx1"/>
            </w14:solidFill>
          </w14:textFill>
        </w:rPr>
        <w:t xml:space="preserve">NR BS RE </w:t>
      </w:r>
      <w:r>
        <w:rPr>
          <w:rFonts w:hint="eastAsia"/>
          <w:lang w:val="en-US" w:eastAsia="zh-CN"/>
        </w:rPr>
        <w:t>test are</w:t>
      </w:r>
      <w:r>
        <w:rPr>
          <w:rFonts w:ascii="Times New Roman" w:hAnsi="Times New Roman" w:eastAsia="Times New Roman" w:cs="Times New Roman"/>
          <w:lang w:val="en-GB" w:eastAsia="en-GB" w:bidi="ar-SA"/>
        </w:rPr>
        <w:t> from 30 MHz to </w:t>
      </w: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GB" w:eastAsia="en-US" w:bidi="ar-SA"/>
        </w:rPr>
        <w:t>DL,low</w:t>
      </w:r>
      <w:r>
        <w:rPr>
          <w:rFonts w:ascii="Times New Roman" w:hAnsi="Times New Roman" w:eastAsia="Times New Roman" w:cs="Times New Roman"/>
          <w:lang w:val="en-GB" w:eastAsia="en-GB" w:bidi="ar-SA"/>
        </w:rPr>
        <w:t> - Δf</w:t>
      </w:r>
      <w:r>
        <w:rPr>
          <w:rFonts w:hint="eastAsia" w:ascii="Times New Roman" w:hAnsi="Times New Roman" w:eastAsia="Times New Roman" w:cs="Times New Roman"/>
          <w:vertAlign w:val="subscript"/>
          <w:lang w:val="en-US" w:eastAsia="zh-CN" w:bidi="ar-SA"/>
        </w:rPr>
        <w:t>OBUE</w:t>
      </w:r>
      <w:r>
        <w:rPr>
          <w:rFonts w:ascii="Times New Roman" w:hAnsi="Times New Roman" w:eastAsia="Times New Roman" w:cs="Times New Roman"/>
          <w:lang w:val="en-GB" w:eastAsia="en-GB" w:bidi="ar-SA"/>
        </w:rPr>
        <w:t xml:space="preserve"> and from </w:t>
      </w: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GB" w:eastAsia="en-US" w:bidi="ar-SA"/>
        </w:rPr>
        <w:t>DL,high</w:t>
      </w:r>
      <w:r>
        <w:rPr>
          <w:rFonts w:ascii="Times New Roman" w:hAnsi="Times New Roman" w:eastAsia="Times New Roman" w:cs="Times New Roman"/>
          <w:lang w:val="en-GB" w:eastAsia="en-GB" w:bidi="ar-SA"/>
        </w:rPr>
        <w:t> + Δf</w:t>
      </w:r>
      <w:r>
        <w:rPr>
          <w:rFonts w:ascii="Times New Roman" w:hAnsi="Times New Roman" w:eastAsia="Times New Roman" w:cs="Times New Roman"/>
          <w:vertAlign w:val="subscript"/>
          <w:lang w:val="en-GB" w:eastAsia="en-GB" w:bidi="ar-SA"/>
        </w:rPr>
        <w:t>O</w:t>
      </w:r>
      <w:r>
        <w:rPr>
          <w:rFonts w:hint="eastAsia" w:ascii="Times New Roman" w:hAnsi="Times New Roman" w:eastAsia="Times New Roman" w:cs="Times New Roman"/>
          <w:vertAlign w:val="subscript"/>
          <w:lang w:val="en-US" w:eastAsia="zh-CN" w:bidi="ar-SA"/>
        </w:rPr>
        <w:t>BUE</w:t>
      </w:r>
      <w:r>
        <w:rPr>
          <w:rFonts w:ascii="Times New Roman" w:hAnsi="Times New Roman" w:eastAsia="Times New Roman" w:cs="Times New Roman"/>
          <w:lang w:val="en-GB" w:eastAsia="en-GB" w:bidi="ar-SA"/>
        </w:rPr>
        <w:t> up to 12750 MH</w:t>
      </w:r>
      <w:r>
        <w:rPr>
          <w:rFonts w:hint="eastAsia" w:ascii="Times New Roman" w:hAnsi="Times New Roman" w:eastAsia="Times New Roman" w:cs="Times New Roman"/>
          <w:lang w:val="en-US" w:eastAsia="zh-CN" w:bidi="ar-SA"/>
        </w:rPr>
        <w:t>z</w:t>
      </w:r>
      <w:r>
        <w:rPr>
          <w:rFonts w:hint="eastAsia" w:eastAsia="Times New Roman" w:cs="Times New Roman"/>
          <w:lang w:val="en-US" w:eastAsia="zh-CN" w:bidi="ar-SA"/>
        </w:rPr>
        <w:t>.</w:t>
      </w:r>
    </w:p>
    <w:p>
      <w:pPr>
        <w:rPr>
          <w:rFonts w:hint="eastAsia"/>
          <w:color w:val="000000" w:themeColor="text1"/>
          <w:sz w:val="20"/>
          <w:lang w:val="en-US" w:eastAsia="zh-CN"/>
          <w14:textFill>
            <w14:solidFill>
              <w14:schemeClr w14:val="tx1"/>
            </w14:solidFill>
          </w14:textFill>
        </w:rPr>
      </w:pPr>
      <w:r>
        <w:rPr>
          <w:rFonts w:hint="eastAsia" w:eastAsia="Times New Roman" w:cs="Times New Roman"/>
          <w:lang w:val="en-US" w:eastAsia="zh-CN" w:bidi="ar-SA"/>
        </w:rPr>
        <w:t xml:space="preserve">The </w:t>
      </w:r>
      <w:r>
        <w:rPr>
          <w:rFonts w:hint="eastAsia"/>
          <w:color w:val="000000" w:themeColor="text1"/>
          <w:sz w:val="20"/>
          <w:lang w:val="en-US" w:eastAsia="zh-CN"/>
          <w14:textFill>
            <w14:solidFill>
              <w14:schemeClr w14:val="tx1"/>
            </w14:solidFill>
          </w14:textFill>
        </w:rPr>
        <w:t>frequency range for unwanted emissions measurement are described in [3] shown in the following table.</w:t>
      </w:r>
    </w:p>
    <w:p>
      <w:pPr>
        <w:jc w:val="center"/>
        <w:rPr>
          <w:rFonts w:hint="default"/>
          <w:color w:val="000000" w:themeColor="text1"/>
          <w:sz w:val="20"/>
          <w:lang w:val="en-US" w:eastAsia="zh-CN"/>
          <w14:textFill>
            <w14:solidFill>
              <w14:schemeClr w14:val="tx1"/>
            </w14:solidFill>
          </w14:textFill>
        </w:rPr>
      </w:pPr>
      <w:r>
        <w:rPr>
          <w:rFonts w:hint="eastAsia"/>
          <w:color w:val="000000" w:themeColor="text1"/>
          <w:sz w:val="20"/>
          <w:lang w:val="en-US" w:eastAsia="zh-CN"/>
          <w14:textFill>
            <w14:solidFill>
              <w14:schemeClr w14:val="tx1"/>
            </w14:solidFill>
          </w14:textFill>
        </w:rPr>
        <w:t>Table 1. Frequency range for unwanted emission measurements</w:t>
      </w:r>
    </w:p>
    <w:tbl>
      <w:tblPr>
        <w:tblStyle w:val="52"/>
        <w:tblW w:w="96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9"/>
        <w:gridCol w:w="2109"/>
        <w:gridCol w:w="5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9" w:type="dxa"/>
            <w:vAlign w:val="center"/>
          </w:tcPr>
          <w:p>
            <w:pPr>
              <w:keepNext/>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ascii="Times New Roman" w:hAnsi="Times New Roman" w:eastAsia="Times New Roman" w:cs="Times New Roman"/>
                <w:b/>
                <w:i/>
                <w:iCs/>
                <w:sz w:val="22"/>
                <w:lang w:val="en-US" w:eastAsia="en-US" w:bidi="ar-SA"/>
              </w:rPr>
            </w:pPr>
            <w:r>
              <w:rPr>
                <w:rFonts w:ascii="Times New Roman" w:hAnsi="Times New Roman" w:eastAsia="Times New Roman" w:cs="Times New Roman"/>
                <w:b/>
                <w:i/>
                <w:iCs/>
                <w:sz w:val="22"/>
                <w:lang w:val="en-US" w:eastAsia="en-US" w:bidi="ar-SA"/>
              </w:rPr>
              <w:t xml:space="preserve">Fundamental </w:t>
            </w:r>
            <w:r>
              <w:rPr>
                <w:rFonts w:ascii="Times New Roman" w:hAnsi="Times New Roman" w:eastAsia="Times New Roman" w:cs="Times New Roman"/>
                <w:b/>
                <w:i/>
                <w:iCs/>
                <w:sz w:val="22"/>
                <w:lang w:val="en-US" w:eastAsia="en-US" w:bidi="ar-SA"/>
              </w:rPr>
              <w:br w:type="textWrapping"/>
            </w:r>
            <w:r>
              <w:rPr>
                <w:rFonts w:ascii="Times New Roman" w:hAnsi="Times New Roman" w:eastAsia="Times New Roman" w:cs="Times New Roman"/>
                <w:b/>
                <w:i/>
                <w:iCs/>
                <w:sz w:val="22"/>
                <w:lang w:val="en-US" w:eastAsia="en-US" w:bidi="ar-SA"/>
              </w:rPr>
              <w:t>frequency range</w:t>
            </w:r>
          </w:p>
        </w:tc>
        <w:tc>
          <w:tcPr>
            <w:tcW w:w="7530" w:type="dxa"/>
            <w:gridSpan w:val="2"/>
            <w:vAlign w:val="center"/>
          </w:tcPr>
          <w:p>
            <w:pPr>
              <w:keepNext/>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ascii="Times New Roman" w:hAnsi="Times New Roman" w:eastAsia="Times New Roman" w:cs="Times New Roman"/>
                <w:b/>
                <w:i/>
                <w:iCs/>
                <w:sz w:val="22"/>
                <w:lang w:val="en-US" w:eastAsia="en-US" w:bidi="ar-SA"/>
              </w:rPr>
            </w:pPr>
            <w:r>
              <w:rPr>
                <w:rFonts w:ascii="Times New Roman" w:hAnsi="Times New Roman" w:eastAsia="Times New Roman" w:cs="Times New Roman"/>
                <w:b/>
                <w:i/>
                <w:iCs/>
                <w:sz w:val="22"/>
                <w:lang w:val="en-US" w:eastAsia="en-US" w:bidi="ar-SA"/>
              </w:rPr>
              <w:t>Frequency range for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9" w:type="dxa"/>
            <w:vAlign w:val="center"/>
          </w:tcPr>
          <w:p>
            <w:pPr>
              <w:keepNext/>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ascii="Times New Roman" w:hAnsi="Times New Roman" w:eastAsia="Times New Roman" w:cs="Times New Roman"/>
                <w:b/>
                <w:i/>
                <w:iCs/>
                <w:sz w:val="22"/>
                <w:lang w:val="en-US" w:eastAsia="en-US" w:bidi="ar-SA"/>
              </w:rPr>
            </w:pPr>
          </w:p>
        </w:tc>
        <w:tc>
          <w:tcPr>
            <w:tcW w:w="2109" w:type="dxa"/>
            <w:vAlign w:val="center"/>
          </w:tcPr>
          <w:p>
            <w:pPr>
              <w:keepNext/>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ascii="Times New Roman" w:hAnsi="Times New Roman" w:eastAsia="Times New Roman" w:cs="Times New Roman"/>
                <w:b/>
                <w:i/>
                <w:iCs/>
                <w:sz w:val="22"/>
                <w:lang w:val="en-US" w:eastAsia="en-US" w:bidi="ar-SA"/>
              </w:rPr>
            </w:pPr>
            <w:r>
              <w:rPr>
                <w:rFonts w:ascii="Times New Roman" w:hAnsi="Times New Roman" w:eastAsia="Times New Roman" w:cs="Times New Roman"/>
                <w:b/>
                <w:i/>
                <w:iCs/>
                <w:sz w:val="22"/>
                <w:lang w:val="en-US" w:eastAsia="en-US" w:bidi="ar-SA"/>
              </w:rPr>
              <w:t>Lower limit</w:t>
            </w:r>
          </w:p>
        </w:tc>
        <w:tc>
          <w:tcPr>
            <w:tcW w:w="5421" w:type="dxa"/>
            <w:vAlign w:val="center"/>
          </w:tcPr>
          <w:p>
            <w:pPr>
              <w:keepNext/>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ascii="Times New Roman" w:hAnsi="Times New Roman" w:eastAsia="Times New Roman" w:cs="Times New Roman"/>
                <w:b/>
                <w:i/>
                <w:iCs/>
                <w:sz w:val="22"/>
                <w:lang w:val="en-US" w:eastAsia="en-US" w:bidi="ar-SA"/>
              </w:rPr>
            </w:pPr>
            <w:r>
              <w:rPr>
                <w:rFonts w:ascii="Times New Roman" w:hAnsi="Times New Roman" w:eastAsia="Times New Roman" w:cs="Times New Roman"/>
                <w:b/>
                <w:i/>
                <w:iCs/>
                <w:sz w:val="22"/>
                <w:lang w:val="en-US" w:eastAsia="en-US" w:bidi="ar-SA"/>
              </w:rPr>
              <w:t>Upper limit</w:t>
            </w:r>
            <w:r>
              <w:rPr>
                <w:rFonts w:ascii="Times New Roman" w:hAnsi="Times New Roman" w:eastAsia="Times New Roman" w:cs="Times New Roman"/>
                <w:b/>
                <w:i/>
                <w:iCs/>
                <w:sz w:val="22"/>
                <w:lang w:val="en-US" w:eastAsia="en-US" w:bidi="ar-SA"/>
              </w:rPr>
              <w:br w:type="textWrapping"/>
            </w:r>
            <w:r>
              <w:rPr>
                <w:rFonts w:ascii="Times New Roman" w:hAnsi="Times New Roman" w:eastAsia="Times New Roman" w:cs="Times New Roman"/>
                <w:b/>
                <w:i/>
                <w:iCs/>
                <w:sz w:val="22"/>
                <w:lang w:val="en-US" w:eastAsia="en-US" w:bidi="ar-SA"/>
              </w:rPr>
              <w:t>(The test should include the entire harmonic</w:t>
            </w:r>
            <w:r>
              <w:rPr>
                <w:rFonts w:ascii="Times New Roman" w:hAnsi="Times New Roman" w:eastAsia="Times New Roman" w:cs="Times New Roman"/>
                <w:b/>
                <w:i/>
                <w:iCs/>
                <w:sz w:val="22"/>
                <w:lang w:val="en-US" w:eastAsia="en-US" w:bidi="ar-SA"/>
              </w:rPr>
              <w:br w:type="textWrapping"/>
            </w:r>
            <w:r>
              <w:rPr>
                <w:rFonts w:ascii="Times New Roman" w:hAnsi="Times New Roman" w:eastAsia="Times New Roman" w:cs="Times New Roman"/>
                <w:b/>
                <w:i/>
                <w:iCs/>
                <w:sz w:val="22"/>
                <w:lang w:val="en-US" w:eastAsia="en-US" w:bidi="ar-SA"/>
              </w:rPr>
              <w:t>band and not be truncated at the precise</w:t>
            </w:r>
            <w:r>
              <w:rPr>
                <w:rFonts w:ascii="Times New Roman" w:hAnsi="Times New Roman" w:eastAsia="Times New Roman" w:cs="Times New Roman"/>
                <w:b/>
                <w:i/>
                <w:iCs/>
                <w:sz w:val="22"/>
                <w:lang w:val="en-US" w:eastAsia="en-US" w:bidi="ar-SA"/>
              </w:rPr>
              <w:br w:type="textWrapping"/>
            </w:r>
            <w:r>
              <w:rPr>
                <w:rFonts w:ascii="Times New Roman" w:hAnsi="Times New Roman" w:eastAsia="Times New Roman" w:cs="Times New Roman"/>
                <w:b/>
                <w:i/>
                <w:iCs/>
                <w:sz w:val="22"/>
                <w:lang w:val="en-US" w:eastAsia="en-US" w:bidi="ar-SA"/>
              </w:rPr>
              <w:t>upper frequency limit stated)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9 kHz-100 MHz</w:t>
            </w:r>
          </w:p>
        </w:tc>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9 kHz</w:t>
            </w:r>
          </w:p>
        </w:tc>
        <w:tc>
          <w:tcPr>
            <w:tcW w:w="5421"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100 MHz-300 MHz</w:t>
            </w:r>
          </w:p>
        </w:tc>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9 kHz</w:t>
            </w:r>
          </w:p>
        </w:tc>
        <w:tc>
          <w:tcPr>
            <w:tcW w:w="5421"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10</w:t>
            </w:r>
            <w:r>
              <w:rPr>
                <w:rFonts w:ascii="Times New Roman" w:hAnsi="Times New Roman" w:eastAsia="Times New Roman" w:cs="Times New Roman"/>
                <w:i/>
                <w:iCs/>
                <w:sz w:val="22"/>
                <w:vertAlign w:val="superscript"/>
                <w:lang w:val="en-US" w:eastAsia="en-US" w:bidi="ar-SA"/>
              </w:rPr>
              <w:t>th</w:t>
            </w:r>
            <w:r>
              <w:rPr>
                <w:rFonts w:ascii="Times New Roman" w:hAnsi="Times New Roman" w:eastAsia="Times New Roman" w:cs="Times New Roman"/>
                <w:i/>
                <w:iCs/>
                <w:sz w:val="22"/>
                <w:lang w:val="en-US" w:eastAsia="en-US" w:bidi="ar-SA"/>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300 MHz-600 MHz</w:t>
            </w:r>
          </w:p>
        </w:tc>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30 MHz</w:t>
            </w:r>
          </w:p>
        </w:tc>
        <w:tc>
          <w:tcPr>
            <w:tcW w:w="5421"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3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600 MHz-5.2 GHz</w:t>
            </w:r>
          </w:p>
        </w:tc>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30 MHz</w:t>
            </w:r>
          </w:p>
        </w:tc>
        <w:tc>
          <w:tcPr>
            <w:tcW w:w="5421"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5</w:t>
            </w:r>
            <w:r>
              <w:rPr>
                <w:rFonts w:ascii="Times New Roman" w:hAnsi="Times New Roman" w:eastAsia="Times New Roman" w:cs="Times New Roman"/>
                <w:i/>
                <w:iCs/>
                <w:sz w:val="22"/>
                <w:vertAlign w:val="superscript"/>
                <w:lang w:val="en-US" w:eastAsia="en-US" w:bidi="ar-SA"/>
              </w:rPr>
              <w:t>th</w:t>
            </w:r>
            <w:r>
              <w:rPr>
                <w:rFonts w:ascii="Times New Roman" w:hAnsi="Times New Roman" w:eastAsia="Times New Roman" w:cs="Times New Roman"/>
                <w:i/>
                <w:iCs/>
                <w:sz w:val="22"/>
                <w:lang w:val="en-US" w:eastAsia="en-US" w:bidi="ar-SA"/>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5.2 GHz-13 GHz</w:t>
            </w:r>
          </w:p>
        </w:tc>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30 MHz</w:t>
            </w:r>
          </w:p>
        </w:tc>
        <w:tc>
          <w:tcPr>
            <w:tcW w:w="5421"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13 GHz-150 GHz</w:t>
            </w:r>
          </w:p>
        </w:tc>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30 MHz</w:t>
            </w:r>
          </w:p>
        </w:tc>
        <w:tc>
          <w:tcPr>
            <w:tcW w:w="5421"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2</w:t>
            </w:r>
            <w:r>
              <w:rPr>
                <w:rFonts w:ascii="Times New Roman" w:hAnsi="Times New Roman" w:eastAsia="Times New Roman" w:cs="Times New Roman"/>
                <w:i/>
                <w:iCs/>
                <w:sz w:val="22"/>
                <w:vertAlign w:val="superscript"/>
                <w:lang w:val="en-US" w:eastAsia="en-US" w:bidi="ar-SA"/>
              </w:rPr>
              <w:t>nd</w:t>
            </w:r>
            <w:r>
              <w:rPr>
                <w:rFonts w:ascii="Times New Roman" w:hAnsi="Times New Roman" w:eastAsia="Times New Roman" w:cs="Times New Roman"/>
                <w:i/>
                <w:iCs/>
                <w:sz w:val="22"/>
                <w:lang w:val="en-US" w:eastAsia="en-US" w:bidi="ar-SA"/>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150 GHz-300 GHz</w:t>
            </w:r>
          </w:p>
        </w:tc>
        <w:tc>
          <w:tcPr>
            <w:tcW w:w="2109"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30 MHz</w:t>
            </w:r>
          </w:p>
        </w:tc>
        <w:tc>
          <w:tcPr>
            <w:tcW w:w="5421" w:type="dxa"/>
            <w:vAlign w:val="center"/>
          </w:tcPr>
          <w:p>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i/>
                <w:iCs/>
                <w:sz w:val="22"/>
                <w:lang w:val="en-US" w:eastAsia="en-US" w:bidi="ar-SA"/>
              </w:rPr>
            </w:pPr>
            <w:r>
              <w:rPr>
                <w:rFonts w:ascii="Times New Roman" w:hAnsi="Times New Roman" w:eastAsia="Times New Roman" w:cs="Times New Roman"/>
                <w:i/>
                <w:iCs/>
                <w:sz w:val="22"/>
                <w:lang w:val="en-US" w:eastAsia="en-US" w:bidi="ar-SA"/>
              </w:rPr>
              <w:t>300 GHz</w:t>
            </w:r>
          </w:p>
        </w:tc>
      </w:tr>
    </w:tbl>
    <w:p>
      <w:pPr>
        <w:rPr>
          <w:rFonts w:hint="eastAsia"/>
          <w:color w:val="000000" w:themeColor="text1"/>
          <w:sz w:val="20"/>
          <w:szCs w:val="22"/>
          <w:lang w:val="en-US" w:eastAsia="zh-CN"/>
          <w14:textFill>
            <w14:solidFill>
              <w14:schemeClr w14:val="tx1"/>
            </w14:solidFill>
          </w14:textFill>
        </w:rPr>
      </w:pPr>
    </w:p>
    <w:p>
      <w:pPr>
        <w:rPr>
          <w:rFonts w:hint="eastAsia"/>
          <w:color w:val="000000" w:themeColor="text1"/>
          <w:sz w:val="20"/>
          <w:szCs w:val="22"/>
          <w:highlight w:val="yellow"/>
          <w:lang w:val="en-US" w:eastAsia="zh-CN"/>
          <w14:textFill>
            <w14:solidFill>
              <w14:schemeClr w14:val="tx1"/>
            </w14:solidFill>
          </w14:textFill>
        </w:rPr>
      </w:pPr>
      <w:r>
        <w:rPr>
          <w:rFonts w:hint="eastAsia"/>
          <w:color w:val="000000" w:themeColor="text1"/>
          <w:sz w:val="20"/>
          <w:szCs w:val="22"/>
          <w:lang w:val="en-US" w:eastAsia="zh-CN"/>
          <w14:textFill>
            <w14:solidFill>
              <w14:schemeClr w14:val="tx1"/>
            </w14:solidFill>
          </w14:textFill>
        </w:rPr>
        <w:t>It can be see from the table, for FR1 NR BS, the 5</w:t>
      </w:r>
      <w:r>
        <w:rPr>
          <w:rFonts w:hint="eastAsia"/>
          <w:color w:val="000000" w:themeColor="text1"/>
          <w:sz w:val="20"/>
          <w:szCs w:val="22"/>
          <w:vertAlign w:val="superscript"/>
          <w:lang w:val="en-US" w:eastAsia="zh-CN"/>
          <w14:textFill>
            <w14:solidFill>
              <w14:schemeClr w14:val="tx1"/>
            </w14:solidFill>
          </w14:textFill>
        </w:rPr>
        <w:t>th</w:t>
      </w:r>
      <w:r>
        <w:rPr>
          <w:rFonts w:hint="eastAsia"/>
          <w:color w:val="000000" w:themeColor="text1"/>
          <w:sz w:val="20"/>
          <w:szCs w:val="22"/>
          <w:lang w:val="en-US" w:eastAsia="zh-CN"/>
          <w14:textFill>
            <w14:solidFill>
              <w14:schemeClr w14:val="tx1"/>
            </w14:solidFill>
          </w14:textFill>
        </w:rPr>
        <w:t xml:space="preserve"> harmonic of the upper frequency of the DL operating band is covered by 12.75GHz if the upper frequency of the DL operating bands are below 2.55GHz.</w:t>
      </w:r>
    </w:p>
    <w:p>
      <w:pPr>
        <w:jc w:val="left"/>
        <w:rPr>
          <w:rFonts w:hint="default" w:cs="v5.0.0"/>
          <w:lang w:val="en-US" w:eastAsia="zh-CN"/>
        </w:rPr>
      </w:pPr>
      <w:r>
        <w:rPr>
          <w:rFonts w:hint="eastAsia"/>
          <w:b w:val="0"/>
          <w:bCs w:val="0"/>
          <w:color w:val="000000" w:themeColor="text1"/>
          <w:szCs w:val="22"/>
          <w:lang w:val="en-US" w:eastAsia="zh-CN"/>
          <w14:textFill>
            <w14:solidFill>
              <w14:schemeClr w14:val="tx1"/>
            </w14:solidFill>
          </w14:textFill>
        </w:rPr>
        <w:t>The upper frequency limit for NR FR1 BS operating bands are all below 6GHz so far, which means the upper frequency up to 12.75GHz for NR FR1 BS RE test are not suitable for the operating bands upper frequency limit up to 6GHz.</w:t>
      </w:r>
      <w:r>
        <w:rPr>
          <w:rFonts w:hint="eastAsia" w:cs="v5.0.0"/>
          <w:lang w:val="en-US" w:eastAsia="zh-CN"/>
        </w:rPr>
        <w:t xml:space="preserve"> </w:t>
      </w:r>
      <w:r>
        <w:t xml:space="preserve">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w:t>
      </w:r>
      <w:r>
        <w:rPr>
          <w:rFonts w:hint="eastAsia"/>
          <w:lang w:val="en-US" w:eastAsia="zh-CN"/>
        </w:rPr>
        <w:t>3</w:t>
      </w:r>
      <w:r>
        <w:t>].</w:t>
      </w:r>
    </w:p>
    <w:p>
      <w:pPr>
        <w:jc w:val="left"/>
        <w:rPr>
          <w:rFonts w:hint="default"/>
          <w:b/>
          <w:bCs/>
          <w:lang w:val="en-US" w:eastAsia="zh-CN"/>
        </w:rPr>
      </w:pPr>
      <w:r>
        <w:rPr>
          <w:rFonts w:hint="eastAsia"/>
          <w:b/>
          <w:bCs/>
          <w:lang w:val="en-US" w:eastAsia="zh-CN"/>
        </w:rPr>
        <w:t>Proposal: Updated the testing frequency range for NR RE testing in the following table.</w:t>
      </w:r>
    </w:p>
    <w:tbl>
      <w:tblPr>
        <w:tblStyle w:val="52"/>
        <w:tblW w:w="9660" w:type="dxa"/>
        <w:tblInd w:w="4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2"/>
        <w:gridCol w:w="4650"/>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2" w:type="dxa"/>
          </w:tcPr>
          <w:p>
            <w:pPr>
              <w:pStyle w:val="62"/>
              <w:keepNext w:val="0"/>
              <w:keepLines w:val="0"/>
              <w:pageBreakBefore w:val="0"/>
              <w:widowControl w:val="0"/>
              <w:kinsoku/>
              <w:wordWrap/>
              <w:overflowPunct/>
              <w:topLinePunct w:val="0"/>
              <w:autoSpaceDE/>
              <w:autoSpaceDN/>
              <w:bidi w:val="0"/>
              <w:adjustRightInd/>
              <w:snapToGrid/>
              <w:textAlignment w:val="auto"/>
              <w:outlineLvl w:val="9"/>
            </w:pPr>
            <w:r>
              <w:t>Frequency Range</w:t>
            </w:r>
          </w:p>
        </w:tc>
        <w:tc>
          <w:tcPr>
            <w:tcW w:w="4650" w:type="dxa"/>
          </w:tcPr>
          <w:p>
            <w:pPr>
              <w:pStyle w:val="62"/>
              <w:keepNext w:val="0"/>
              <w:keepLines w:val="0"/>
              <w:pageBreakBefore w:val="0"/>
              <w:widowControl w:val="0"/>
              <w:kinsoku/>
              <w:wordWrap/>
              <w:overflowPunct/>
              <w:topLinePunct w:val="0"/>
              <w:autoSpaceDE/>
              <w:autoSpaceDN/>
              <w:bidi w:val="0"/>
              <w:adjustRightInd/>
              <w:snapToGrid/>
              <w:textAlignment w:val="auto"/>
              <w:outlineLvl w:val="9"/>
            </w:pPr>
            <w:r>
              <w:rPr>
                <w:szCs w:val="18"/>
                <w:lang w:eastAsia="en-GB"/>
              </w:rPr>
              <w:t>Minimum requirement (e.r.p.) / Reference bandwidth</w:t>
            </w:r>
          </w:p>
        </w:tc>
        <w:tc>
          <w:tcPr>
            <w:tcW w:w="868" w:type="dxa"/>
          </w:tcPr>
          <w:p>
            <w:pPr>
              <w:pStyle w:val="62"/>
              <w:keepNext w:val="0"/>
              <w:keepLines w:val="0"/>
              <w:pageBreakBefore w:val="0"/>
              <w:widowControl w:val="0"/>
              <w:kinsoku/>
              <w:wordWrap/>
              <w:overflowPunct/>
              <w:topLinePunct w:val="0"/>
              <w:autoSpaceDE/>
              <w:autoSpaceDN/>
              <w:bidi w:val="0"/>
              <w:adjustRightInd/>
              <w:snapToGrid/>
              <w:textAlignment w:val="auto"/>
              <w:outlineLvl w:val="9"/>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2" w:type="dxa"/>
          </w:tcPr>
          <w:p>
            <w:pPr>
              <w:pStyle w:val="63"/>
              <w:keepNext w:val="0"/>
              <w:keepLines w:val="0"/>
              <w:pageBreakBefore w:val="0"/>
              <w:widowControl w:val="0"/>
              <w:kinsoku/>
              <w:wordWrap/>
              <w:overflowPunct/>
              <w:topLinePunct w:val="0"/>
              <w:autoSpaceDE/>
              <w:autoSpaceDN/>
              <w:bidi w:val="0"/>
              <w:adjustRightInd/>
              <w:snapToGrid/>
              <w:textAlignment w:val="auto"/>
              <w:outlineLvl w:val="9"/>
            </w:pPr>
            <w:r>
              <w:t>30 MHz ≤ f &lt; 1000 MHz</w:t>
            </w:r>
          </w:p>
        </w:tc>
        <w:tc>
          <w:tcPr>
            <w:tcW w:w="4650" w:type="dxa"/>
            <w:vAlign w:val="top"/>
          </w:tcPr>
          <w:p>
            <w:pPr>
              <w:pStyle w:val="63"/>
            </w:pPr>
            <w:r>
              <w:rPr>
                <w:lang w:eastAsia="en-GB"/>
              </w:rPr>
              <w:t>-36 dBm/ 100 kHz</w:t>
            </w:r>
          </w:p>
        </w:tc>
        <w:tc>
          <w:tcPr>
            <w:tcW w:w="868" w:type="dxa"/>
          </w:tcPr>
          <w:p>
            <w:pPr>
              <w:pStyle w:val="63"/>
              <w:keepNext w:val="0"/>
              <w:keepLines w:val="0"/>
              <w:pageBreakBefore w:val="0"/>
              <w:widowControl w:val="0"/>
              <w:kinsoku/>
              <w:wordWrap/>
              <w:overflowPunct/>
              <w:topLinePunct w:val="0"/>
              <w:autoSpaceDE/>
              <w:autoSpaceDN/>
              <w:bidi w:val="0"/>
              <w:adjustRightInd/>
              <w:snapToGrid/>
              <w:textAlignment w:val="auto"/>
              <w:outlineLvl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2" w:type="dxa"/>
          </w:tcPr>
          <w:p>
            <w:pPr>
              <w:pStyle w:val="63"/>
              <w:keepNext w:val="0"/>
              <w:keepLines w:val="0"/>
              <w:pageBreakBefore w:val="0"/>
              <w:widowControl w:val="0"/>
              <w:kinsoku/>
              <w:wordWrap/>
              <w:overflowPunct/>
              <w:topLinePunct w:val="0"/>
              <w:autoSpaceDE/>
              <w:autoSpaceDN/>
              <w:bidi w:val="0"/>
              <w:adjustRightInd/>
              <w:snapToGrid/>
              <w:textAlignment w:val="auto"/>
              <w:outlineLvl w:val="9"/>
            </w:pPr>
            <w:r>
              <w:t>1 GHz ≤ f &lt; 12.75 GHz</w:t>
            </w:r>
          </w:p>
        </w:tc>
        <w:tc>
          <w:tcPr>
            <w:tcW w:w="4650" w:type="dxa"/>
            <w:vAlign w:val="top"/>
          </w:tcPr>
          <w:p>
            <w:pPr>
              <w:pStyle w:val="63"/>
            </w:pPr>
            <w:r>
              <w:rPr>
                <w:lang w:eastAsia="en-GB"/>
              </w:rPr>
              <w:t>-30 dBm/ 1 MHz</w:t>
            </w:r>
          </w:p>
        </w:tc>
        <w:tc>
          <w:tcPr>
            <w:tcW w:w="868" w:type="dxa"/>
          </w:tcPr>
          <w:p>
            <w:pPr>
              <w:pStyle w:val="63"/>
              <w:keepNext w:val="0"/>
              <w:keepLines w:val="0"/>
              <w:pageBreakBefore w:val="0"/>
              <w:widowControl w:val="0"/>
              <w:kinsoku/>
              <w:wordWrap/>
              <w:overflowPunct/>
              <w:topLinePunct w:val="0"/>
              <w:autoSpaceDE/>
              <w:autoSpaceDN/>
              <w:bidi w:val="0"/>
              <w:adjustRightInd/>
              <w:snapToGrid/>
              <w:textAlignment w:val="auto"/>
              <w:outlineLvl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2" w:type="dxa"/>
            <w:vAlign w:val="center"/>
          </w:tcPr>
          <w:p>
            <w:pPr>
              <w:pStyle w:val="63"/>
              <w:keepNext w:val="0"/>
              <w:keepLines w:val="0"/>
              <w:pageBreakBefore w:val="0"/>
              <w:widowControl w:val="0"/>
              <w:kinsoku/>
              <w:wordWrap/>
              <w:overflowPunct/>
              <w:topLinePunct w:val="0"/>
              <w:autoSpaceDE/>
              <w:autoSpaceDN/>
              <w:bidi w:val="0"/>
              <w:adjustRightInd/>
              <w:snapToGrid/>
              <w:textAlignment w:val="auto"/>
              <w:outlineLvl w:val="9"/>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4650" w:type="dxa"/>
            <w:vAlign w:val="top"/>
          </w:tcPr>
          <w:p>
            <w:pPr>
              <w:pStyle w:val="63"/>
            </w:pPr>
            <w:r>
              <w:rPr>
                <w:lang w:eastAsia="en-GB"/>
              </w:rPr>
              <w:t>-30 dBm/ 1 MHz</w:t>
            </w:r>
          </w:p>
        </w:tc>
        <w:tc>
          <w:tcPr>
            <w:tcW w:w="868" w:type="dxa"/>
            <w:vAlign w:val="center"/>
          </w:tcPr>
          <w:p>
            <w:pPr>
              <w:pStyle w:val="63"/>
              <w:keepNext w:val="0"/>
              <w:keepLines w:val="0"/>
              <w:pageBreakBefore w:val="0"/>
              <w:widowControl w:val="0"/>
              <w:kinsoku/>
              <w:wordWrap/>
              <w:overflowPunct/>
              <w:topLinePunct w:val="0"/>
              <w:autoSpaceDE/>
              <w:autoSpaceDN/>
              <w:bidi w:val="0"/>
              <w:adjustRightInd/>
              <w:snapToGrid/>
              <w:textAlignment w:val="auto"/>
              <w:outlineLvl w:val="9"/>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2" w:type="dxa"/>
            <w:vAlign w:val="center"/>
          </w:tcPr>
          <w:p>
            <w:pPr>
              <w:pStyle w:val="63"/>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12.</w:t>
            </w:r>
            <w:r>
              <w:t>75 GHz &lt; f &lt; 26 GHz</w:t>
            </w:r>
          </w:p>
        </w:tc>
        <w:tc>
          <w:tcPr>
            <w:tcW w:w="4650" w:type="dxa"/>
            <w:vAlign w:val="top"/>
          </w:tcPr>
          <w:p>
            <w:pPr>
              <w:pStyle w:val="63"/>
            </w:pPr>
            <w:r>
              <w:rPr>
                <w:lang w:eastAsia="en-GB"/>
              </w:rPr>
              <w:t>-30 dBm/ 1 MHz</w:t>
            </w:r>
          </w:p>
        </w:tc>
        <w:tc>
          <w:tcPr>
            <w:tcW w:w="868" w:type="dxa"/>
            <w:vAlign w:val="center"/>
          </w:tcPr>
          <w:p>
            <w:pPr>
              <w:pStyle w:val="63"/>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42" w:type="dxa"/>
            <w:vAlign w:val="top"/>
          </w:tcPr>
          <w:p>
            <w:pPr>
              <w:pStyle w:val="63"/>
              <w:keepNext w:val="0"/>
              <w:keepLines w:val="0"/>
              <w:pageBreakBefore w:val="0"/>
              <w:widowControl w:val="0"/>
              <w:kinsoku/>
              <w:wordWrap/>
              <w:overflowPunct/>
              <w:topLinePunct w:val="0"/>
              <w:autoSpaceDE/>
              <w:autoSpaceDN/>
              <w:bidi w:val="0"/>
              <w:adjustRightInd/>
              <w:snapToGrid/>
              <w:textAlignment w:val="auto"/>
              <w:outlineLvl w:val="9"/>
              <w:rPr>
                <w:rFonts w:hint="eastAsia"/>
              </w:rPr>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4650" w:type="dxa"/>
            <w:vAlign w:val="top"/>
          </w:tcPr>
          <w:p>
            <w:pPr>
              <w:pStyle w:val="63"/>
              <w:keepNext w:val="0"/>
              <w:keepLines w:val="0"/>
              <w:pageBreakBefore w:val="0"/>
              <w:widowControl w:val="0"/>
              <w:kinsoku/>
              <w:wordWrap/>
              <w:overflowPunct/>
              <w:topLinePunct w:val="0"/>
              <w:autoSpaceDE/>
              <w:autoSpaceDN/>
              <w:bidi w:val="0"/>
              <w:adjustRightInd/>
              <w:snapToGrid/>
              <w:textAlignment w:val="auto"/>
              <w:outlineLvl w:val="9"/>
              <w:rPr>
                <w:rFonts w:hint="eastAsia"/>
              </w:rPr>
            </w:pPr>
            <w:r>
              <w:rPr>
                <w:lang w:eastAsia="en-GB"/>
              </w:rPr>
              <w:t>Not defined</w:t>
            </w:r>
          </w:p>
        </w:tc>
        <w:tc>
          <w:tcPr>
            <w:tcW w:w="868" w:type="dxa"/>
            <w:vAlign w:val="center"/>
          </w:tcPr>
          <w:p>
            <w:pPr>
              <w:pStyle w:val="63"/>
              <w:keepNext w:val="0"/>
              <w:keepLines w:val="0"/>
              <w:pageBreakBefore w:val="0"/>
              <w:widowControl w:val="0"/>
              <w:kinsoku/>
              <w:wordWrap/>
              <w:overflowPunct/>
              <w:topLinePunct w:val="0"/>
              <w:autoSpaceDE/>
              <w:autoSpaceDN/>
              <w:bidi w:val="0"/>
              <w:adjustRightInd/>
              <w:snapToGrid/>
              <w:textAlignment w:val="auto"/>
              <w:outlineLvl w:val="9"/>
              <w:rPr>
                <w:rFonts w:hint="default" w:eastAsia="宋体"/>
                <w:lang w:val="en-US" w:eastAsia="zh-CN"/>
              </w:rPr>
            </w:pPr>
            <w:r>
              <w:rPr>
                <w:rFonts w:hint="eastAsia"/>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60" w:type="dxa"/>
            <w:gridSpan w:val="3"/>
            <w:vAlign w:val="top"/>
          </w:tcPr>
          <w:p>
            <w:pPr>
              <w:pStyle w:val="75"/>
              <w:rPr>
                <w:rFonts w:hint="default"/>
                <w:lang w:val="en-US" w:eastAsia="zh-CN"/>
              </w:rPr>
            </w:pPr>
            <w:r>
              <w:t>NOTE 1:</w:t>
            </w:r>
            <w:r>
              <w:tab/>
            </w:r>
            <w:r>
              <w:t>Applies for</w:t>
            </w:r>
            <w:r>
              <w:rPr>
                <w:rFonts w:hint="eastAsia"/>
                <w:lang w:eastAsia="zh-CN"/>
              </w:rPr>
              <w:t xml:space="preserve"> Band that the</w:t>
            </w:r>
            <w:r>
              <w:t xml:space="preserve"> upper frequency edge of the </w:t>
            </w:r>
            <w:r>
              <w:rPr>
                <w:rFonts w:hint="eastAsia"/>
                <w:lang w:val="en-US" w:eastAsia="zh-CN"/>
              </w:rPr>
              <w:t>D</w:t>
            </w:r>
            <w:r>
              <w:t>L Band</w:t>
            </w:r>
            <w:r>
              <w:rPr>
                <w:rFonts w:hint="eastAsia"/>
                <w:lang w:eastAsia="zh-CN"/>
              </w:rPr>
              <w:t xml:space="preserve"> </w:t>
            </w:r>
            <w:r>
              <w:rPr>
                <w:rFonts w:hint="eastAsia"/>
                <w:lang w:val="en-US" w:eastAsia="zh-CN"/>
              </w:rPr>
              <w:t>which is between</w:t>
            </w:r>
            <w:r>
              <w:rPr>
                <w:rFonts w:hint="eastAsia"/>
                <w:lang w:eastAsia="zh-CN"/>
              </w:rPr>
              <w:t xml:space="preserve"> 2.</w:t>
            </w:r>
            <w:r>
              <w:rPr>
                <w:rFonts w:hint="eastAsia"/>
                <w:lang w:val="en-US" w:eastAsia="zh-CN"/>
              </w:rPr>
              <w:t>55</w:t>
            </w:r>
            <w:r>
              <w:rPr>
                <w:rFonts w:hint="eastAsia"/>
                <w:lang w:eastAsia="zh-CN"/>
              </w:rPr>
              <w:t>GHz</w:t>
            </w:r>
            <w:r>
              <w:rPr>
                <w:rFonts w:hint="eastAsia"/>
                <w:lang w:val="en-US" w:eastAsia="zh-CN"/>
              </w:rPr>
              <w:t xml:space="preserve"> and 5.2GHz.</w:t>
            </w:r>
          </w:p>
          <w:p>
            <w:pPr>
              <w:pStyle w:val="75"/>
              <w:rPr>
                <w:rFonts w:hint="default"/>
                <w:lang w:val="en-US" w:eastAsia="zh-CN"/>
              </w:rPr>
            </w:pPr>
            <w:r>
              <w:t>NOTE 2:</w:t>
            </w:r>
            <w:r>
              <w:tab/>
            </w:r>
            <w:r>
              <w:t xml:space="preserve">Applies for Band </w:t>
            </w:r>
            <w:r>
              <w:rPr>
                <w:rFonts w:hint="eastAsia"/>
                <w:lang w:eastAsia="zh-CN"/>
              </w:rPr>
              <w:t>that the</w:t>
            </w:r>
            <w:r>
              <w:t xml:space="preserve"> upper frequency edge of the </w:t>
            </w:r>
            <w:r>
              <w:rPr>
                <w:rFonts w:hint="eastAsia"/>
                <w:lang w:val="en-US" w:eastAsia="zh-CN"/>
              </w:rPr>
              <w:t>D</w:t>
            </w:r>
            <w:r>
              <w:t>L Band</w:t>
            </w:r>
            <w:r>
              <w:rPr>
                <w:rFonts w:hint="eastAsia"/>
                <w:lang w:eastAsia="zh-CN"/>
              </w:rPr>
              <w:t xml:space="preserve"> more than 5.2 GHz</w:t>
            </w:r>
            <w:r>
              <w:rPr>
                <w:rFonts w:hint="eastAsia"/>
                <w:lang w:val="en-US" w:eastAsia="zh-CN"/>
              </w:rPr>
              <w:t>.</w:t>
            </w:r>
          </w:p>
          <w:p>
            <w:pPr>
              <w:pStyle w:val="75"/>
              <w:rPr>
                <w:lang w:eastAsia="en-GB"/>
              </w:rPr>
            </w:pPr>
            <w:r>
              <w:rPr>
                <w:lang w:eastAsia="en-GB"/>
              </w:rPr>
              <w:t xml:space="preserve">NOTE </w:t>
            </w:r>
            <w:r>
              <w:rPr>
                <w:rFonts w:hint="eastAsia"/>
                <w:lang w:val="en-US" w:eastAsia="zh-CN"/>
              </w:rPr>
              <w:t>3</w:t>
            </w:r>
            <w:r>
              <w:rPr>
                <w:lang w:eastAsia="en-GB"/>
              </w:rPr>
              <w:t>:</w:t>
            </w:r>
            <w:r>
              <w:rPr>
                <w:lang w:eastAsia="en-GB"/>
              </w:rPr>
              <w:tab/>
            </w:r>
            <w:r>
              <w:rPr>
                <w:lang w:eastAsia="en-GB"/>
              </w:rPr>
              <w:t xml:space="preserve">For BS capable of multi-band operation, the frequency ranges relating to the RF bandwidths of all supported </w:t>
            </w:r>
            <w:r>
              <w:rPr>
                <w:rFonts w:hint="eastAsia" w:eastAsia="宋体"/>
                <w:i/>
                <w:iCs/>
                <w:lang w:val="en-US" w:eastAsia="zh-CN"/>
              </w:rPr>
              <w:t xml:space="preserve">operating </w:t>
            </w:r>
            <w:r>
              <w:rPr>
                <w:i/>
                <w:iCs/>
                <w:lang w:eastAsia="en-GB"/>
              </w:rPr>
              <w:t>bands</w:t>
            </w:r>
            <w:r>
              <w:rPr>
                <w:lang w:eastAsia="en-GB"/>
              </w:rPr>
              <w:t xml:space="preserve"> apply.</w:t>
            </w:r>
          </w:p>
          <w:p>
            <w:pPr>
              <w:pStyle w:val="63"/>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lang w:val="en-US" w:eastAsia="zh-CN"/>
              </w:rPr>
            </w:pPr>
            <w:r>
              <w:rPr>
                <w:lang w:eastAsia="en-GB"/>
              </w:rPr>
              <w:t xml:space="preserve">NOTE </w:t>
            </w:r>
            <w:r>
              <w:rPr>
                <w:rFonts w:hint="eastAsia"/>
                <w:lang w:val="en-US" w:eastAsia="zh-CN"/>
              </w:rPr>
              <w:t>4</w:t>
            </w:r>
            <w:r>
              <w:rPr>
                <w:lang w:eastAsia="en-GB"/>
              </w:rPr>
              <w:t>:</w:t>
            </w:r>
            <w:r>
              <w:rPr>
                <w:lang w:eastAsia="en-GB"/>
              </w:rPr>
              <w:tab/>
            </w:r>
            <w:r>
              <w:t>Δf</w:t>
            </w:r>
            <w:r>
              <w:rPr>
                <w:rFonts w:hint="eastAsia"/>
                <w:vertAlign w:val="subscript"/>
                <w:lang w:val="en-US" w:eastAsia="zh-CN"/>
              </w:rPr>
              <w:t>OBUE</w:t>
            </w:r>
            <w:r>
              <w:rPr>
                <w:lang w:val="en-US" w:eastAsia="zh-CN"/>
              </w:rPr>
              <w:t xml:space="preserve"> is</w:t>
            </w:r>
            <w:r>
              <w:rPr>
                <w:lang w:eastAsia="en-GB"/>
              </w:rPr>
              <w:t xml:space="preserve"> defined in </w:t>
            </w:r>
            <w:r>
              <w:rPr>
                <w:rFonts w:hint="eastAsia" w:eastAsia="宋体"/>
                <w:lang w:val="en-US" w:eastAsia="zh-CN"/>
              </w:rPr>
              <w:t>subclause</w:t>
            </w:r>
            <w:r>
              <w:rPr>
                <w:lang w:eastAsia="en-GB"/>
              </w:rPr>
              <w:t xml:space="preserve"> 6.6.1 of TS 38</w:t>
            </w:r>
            <w:r>
              <w:rPr>
                <w:rFonts w:hint="eastAsia"/>
                <w:lang w:val="en-US" w:eastAsia="zh-CN"/>
              </w:rPr>
              <w:t>.</w:t>
            </w:r>
            <w:r>
              <w:rPr>
                <w:lang w:eastAsia="en-GB"/>
              </w:rPr>
              <w:t xml:space="preserve">104 </w:t>
            </w:r>
            <w:r>
              <w:rPr>
                <w:rFonts w:hint="eastAsia"/>
                <w:lang w:val="en-US" w:eastAsia="zh-CN"/>
              </w:rPr>
              <w:t>[2]</w:t>
            </w:r>
            <w:r>
              <w:rPr>
                <w:lang w:val="en-US" w:eastAsia="zh-CN"/>
              </w:rPr>
              <w:t>.</w:t>
            </w:r>
          </w:p>
        </w:tc>
      </w:tr>
    </w:tbl>
    <w:p>
      <w:pPr>
        <w:rPr>
          <w:rFonts w:hint="eastAsia"/>
          <w:b/>
          <w:bCs/>
          <w:lang w:val="en-US" w:eastAsia="zh-CN"/>
        </w:rPr>
      </w:pPr>
    </w:p>
    <w:p>
      <w:pPr>
        <w:rPr>
          <w:rFonts w:hint="eastAsia"/>
          <w:b/>
          <w:bCs/>
          <w:lang w:val="en-US" w:eastAsia="zh-CN"/>
        </w:rPr>
      </w:pP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the discussion of RE frequency range and the proposal are:</w:t>
      </w:r>
    </w:p>
    <w:p>
      <w:pPr>
        <w:jc w:val="both"/>
        <w:rPr>
          <w:rFonts w:hint="eastAsia"/>
          <w:b/>
          <w:bCs/>
          <w:lang w:val="en-US" w:eastAsia="zh-CN"/>
        </w:rPr>
      </w:pPr>
      <w:r>
        <w:rPr>
          <w:rFonts w:hint="eastAsia"/>
          <w:b/>
          <w:bCs/>
          <w:lang w:val="en-US" w:eastAsia="zh-CN"/>
        </w:rPr>
        <w:t>Proposal: Updated the testing frequency range for NR RE testing in the following table.</w:t>
      </w:r>
    </w:p>
    <w:tbl>
      <w:tblPr>
        <w:tblStyle w:val="52"/>
        <w:tblW w:w="9660" w:type="dxa"/>
        <w:tblInd w:w="4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2"/>
        <w:gridCol w:w="4650"/>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142" w:type="dxa"/>
          </w:tcPr>
          <w:p>
            <w:pPr>
              <w:pStyle w:val="62"/>
              <w:keepNext w:val="0"/>
              <w:keepLines w:val="0"/>
              <w:pageBreakBefore w:val="0"/>
              <w:widowControl w:val="0"/>
              <w:kinsoku/>
              <w:wordWrap/>
              <w:overflowPunct/>
              <w:topLinePunct w:val="0"/>
              <w:autoSpaceDE/>
              <w:autoSpaceDN/>
              <w:bidi w:val="0"/>
              <w:adjustRightInd/>
              <w:snapToGrid/>
              <w:textAlignment w:val="auto"/>
              <w:outlineLvl w:val="9"/>
            </w:pPr>
            <w:r>
              <w:t>Frequency Range</w:t>
            </w:r>
          </w:p>
        </w:tc>
        <w:tc>
          <w:tcPr>
            <w:tcW w:w="4650" w:type="dxa"/>
          </w:tcPr>
          <w:p>
            <w:pPr>
              <w:pStyle w:val="62"/>
              <w:keepNext w:val="0"/>
              <w:keepLines w:val="0"/>
              <w:pageBreakBefore w:val="0"/>
              <w:widowControl w:val="0"/>
              <w:kinsoku/>
              <w:wordWrap/>
              <w:overflowPunct/>
              <w:topLinePunct w:val="0"/>
              <w:autoSpaceDE/>
              <w:autoSpaceDN/>
              <w:bidi w:val="0"/>
              <w:adjustRightInd/>
              <w:snapToGrid/>
              <w:textAlignment w:val="auto"/>
              <w:outlineLvl w:val="9"/>
            </w:pPr>
            <w:r>
              <w:rPr>
                <w:szCs w:val="18"/>
                <w:lang w:eastAsia="en-GB"/>
              </w:rPr>
              <w:t>Minimum requirement (e.r.p.) / Reference bandwidth</w:t>
            </w:r>
          </w:p>
        </w:tc>
        <w:tc>
          <w:tcPr>
            <w:tcW w:w="868" w:type="dxa"/>
          </w:tcPr>
          <w:p>
            <w:pPr>
              <w:pStyle w:val="62"/>
              <w:keepNext w:val="0"/>
              <w:keepLines w:val="0"/>
              <w:pageBreakBefore w:val="0"/>
              <w:widowControl w:val="0"/>
              <w:kinsoku/>
              <w:wordWrap/>
              <w:overflowPunct/>
              <w:topLinePunct w:val="0"/>
              <w:autoSpaceDE/>
              <w:autoSpaceDN/>
              <w:bidi w:val="0"/>
              <w:adjustRightInd/>
              <w:snapToGrid/>
              <w:textAlignment w:val="auto"/>
              <w:outlineLvl w:val="9"/>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142" w:type="dxa"/>
          </w:tcPr>
          <w:p>
            <w:pPr>
              <w:pStyle w:val="63"/>
              <w:keepNext w:val="0"/>
              <w:keepLines w:val="0"/>
              <w:pageBreakBefore w:val="0"/>
              <w:widowControl w:val="0"/>
              <w:kinsoku/>
              <w:wordWrap/>
              <w:overflowPunct/>
              <w:topLinePunct w:val="0"/>
              <w:autoSpaceDE/>
              <w:autoSpaceDN/>
              <w:bidi w:val="0"/>
              <w:adjustRightInd/>
              <w:snapToGrid/>
              <w:textAlignment w:val="auto"/>
              <w:outlineLvl w:val="9"/>
            </w:pPr>
            <w:r>
              <w:t>30 MHz ≤ f &lt; 1000 MHz</w:t>
            </w:r>
          </w:p>
        </w:tc>
        <w:tc>
          <w:tcPr>
            <w:tcW w:w="4650" w:type="dxa"/>
            <w:vAlign w:val="top"/>
          </w:tcPr>
          <w:p>
            <w:pPr>
              <w:pStyle w:val="63"/>
            </w:pPr>
            <w:r>
              <w:rPr>
                <w:lang w:eastAsia="en-GB"/>
              </w:rPr>
              <w:t>-36 dBm/ 100 kHz</w:t>
            </w:r>
          </w:p>
        </w:tc>
        <w:tc>
          <w:tcPr>
            <w:tcW w:w="868" w:type="dxa"/>
          </w:tcPr>
          <w:p>
            <w:pPr>
              <w:pStyle w:val="63"/>
              <w:keepNext w:val="0"/>
              <w:keepLines w:val="0"/>
              <w:pageBreakBefore w:val="0"/>
              <w:widowControl w:val="0"/>
              <w:kinsoku/>
              <w:wordWrap/>
              <w:overflowPunct/>
              <w:topLinePunct w:val="0"/>
              <w:autoSpaceDE/>
              <w:autoSpaceDN/>
              <w:bidi w:val="0"/>
              <w:adjustRightInd/>
              <w:snapToGrid/>
              <w:textAlignment w:val="auto"/>
              <w:outlineLvl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142" w:type="dxa"/>
          </w:tcPr>
          <w:p>
            <w:pPr>
              <w:pStyle w:val="63"/>
              <w:keepNext w:val="0"/>
              <w:keepLines w:val="0"/>
              <w:pageBreakBefore w:val="0"/>
              <w:widowControl w:val="0"/>
              <w:kinsoku/>
              <w:wordWrap/>
              <w:overflowPunct/>
              <w:topLinePunct w:val="0"/>
              <w:autoSpaceDE/>
              <w:autoSpaceDN/>
              <w:bidi w:val="0"/>
              <w:adjustRightInd/>
              <w:snapToGrid/>
              <w:textAlignment w:val="auto"/>
              <w:outlineLvl w:val="9"/>
            </w:pPr>
            <w:r>
              <w:t>1 GHz ≤ f &lt; 12.75 GHz</w:t>
            </w:r>
          </w:p>
        </w:tc>
        <w:tc>
          <w:tcPr>
            <w:tcW w:w="4650" w:type="dxa"/>
            <w:vAlign w:val="top"/>
          </w:tcPr>
          <w:p>
            <w:pPr>
              <w:pStyle w:val="63"/>
            </w:pPr>
            <w:r>
              <w:rPr>
                <w:lang w:eastAsia="en-GB"/>
              </w:rPr>
              <w:t>-30 dBm/ 1 MHz</w:t>
            </w:r>
          </w:p>
        </w:tc>
        <w:tc>
          <w:tcPr>
            <w:tcW w:w="868" w:type="dxa"/>
          </w:tcPr>
          <w:p>
            <w:pPr>
              <w:pStyle w:val="63"/>
              <w:keepNext w:val="0"/>
              <w:keepLines w:val="0"/>
              <w:pageBreakBefore w:val="0"/>
              <w:widowControl w:val="0"/>
              <w:kinsoku/>
              <w:wordWrap/>
              <w:overflowPunct/>
              <w:topLinePunct w:val="0"/>
              <w:autoSpaceDE/>
              <w:autoSpaceDN/>
              <w:bidi w:val="0"/>
              <w:adjustRightInd/>
              <w:snapToGrid/>
              <w:textAlignment w:val="auto"/>
              <w:outlineLvl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142" w:type="dxa"/>
            <w:vAlign w:val="center"/>
          </w:tcPr>
          <w:p>
            <w:pPr>
              <w:pStyle w:val="63"/>
              <w:keepNext w:val="0"/>
              <w:keepLines w:val="0"/>
              <w:pageBreakBefore w:val="0"/>
              <w:widowControl w:val="0"/>
              <w:kinsoku/>
              <w:wordWrap/>
              <w:overflowPunct/>
              <w:topLinePunct w:val="0"/>
              <w:autoSpaceDE/>
              <w:autoSpaceDN/>
              <w:bidi w:val="0"/>
              <w:adjustRightInd/>
              <w:snapToGrid/>
              <w:textAlignment w:val="auto"/>
              <w:outlineLvl w:val="9"/>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4650" w:type="dxa"/>
            <w:vAlign w:val="top"/>
          </w:tcPr>
          <w:p>
            <w:pPr>
              <w:pStyle w:val="63"/>
            </w:pPr>
            <w:r>
              <w:rPr>
                <w:lang w:eastAsia="en-GB"/>
              </w:rPr>
              <w:t>-30 dBm/ 1 MHz</w:t>
            </w:r>
          </w:p>
        </w:tc>
        <w:tc>
          <w:tcPr>
            <w:tcW w:w="868" w:type="dxa"/>
            <w:vAlign w:val="center"/>
          </w:tcPr>
          <w:p>
            <w:pPr>
              <w:pStyle w:val="63"/>
              <w:keepNext w:val="0"/>
              <w:keepLines w:val="0"/>
              <w:pageBreakBefore w:val="0"/>
              <w:widowControl w:val="0"/>
              <w:kinsoku/>
              <w:wordWrap/>
              <w:overflowPunct/>
              <w:topLinePunct w:val="0"/>
              <w:autoSpaceDE/>
              <w:autoSpaceDN/>
              <w:bidi w:val="0"/>
              <w:adjustRightInd/>
              <w:snapToGrid/>
              <w:textAlignment w:val="auto"/>
              <w:outlineLvl w:val="9"/>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142" w:type="dxa"/>
            <w:vAlign w:val="center"/>
          </w:tcPr>
          <w:p>
            <w:pPr>
              <w:pStyle w:val="63"/>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12.</w:t>
            </w:r>
            <w:r>
              <w:t>75 GHz &lt; f &lt; 26 GHz</w:t>
            </w:r>
          </w:p>
        </w:tc>
        <w:tc>
          <w:tcPr>
            <w:tcW w:w="4650" w:type="dxa"/>
            <w:vAlign w:val="top"/>
          </w:tcPr>
          <w:p>
            <w:pPr>
              <w:pStyle w:val="63"/>
            </w:pPr>
            <w:r>
              <w:rPr>
                <w:lang w:eastAsia="en-GB"/>
              </w:rPr>
              <w:t>-30 dBm/ 1 MHz</w:t>
            </w:r>
          </w:p>
        </w:tc>
        <w:tc>
          <w:tcPr>
            <w:tcW w:w="868" w:type="dxa"/>
            <w:vAlign w:val="center"/>
          </w:tcPr>
          <w:p>
            <w:pPr>
              <w:pStyle w:val="63"/>
              <w:keepNext w:val="0"/>
              <w:keepLines w:val="0"/>
              <w:pageBreakBefore w:val="0"/>
              <w:widowControl w:val="0"/>
              <w:kinsoku/>
              <w:wordWrap/>
              <w:overflowPunct/>
              <w:topLinePunct w:val="0"/>
              <w:autoSpaceDE/>
              <w:autoSpaceDN/>
              <w:bidi w:val="0"/>
              <w:adjustRightInd/>
              <w:snapToGrid/>
              <w:textAlignment w:val="auto"/>
              <w:outlineLvl w:val="9"/>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142" w:type="dxa"/>
            <w:vAlign w:val="top"/>
          </w:tcPr>
          <w:p>
            <w:pPr>
              <w:pStyle w:val="63"/>
              <w:keepNext w:val="0"/>
              <w:keepLines w:val="0"/>
              <w:pageBreakBefore w:val="0"/>
              <w:widowControl w:val="0"/>
              <w:kinsoku/>
              <w:wordWrap/>
              <w:overflowPunct/>
              <w:topLinePunct w:val="0"/>
              <w:autoSpaceDE/>
              <w:autoSpaceDN/>
              <w:bidi w:val="0"/>
              <w:adjustRightInd/>
              <w:snapToGrid/>
              <w:textAlignment w:val="auto"/>
              <w:outlineLvl w:val="9"/>
              <w:rPr>
                <w:rFonts w:hint="eastAsia"/>
              </w:rPr>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4650" w:type="dxa"/>
            <w:vAlign w:val="top"/>
          </w:tcPr>
          <w:p>
            <w:pPr>
              <w:pStyle w:val="63"/>
              <w:keepNext w:val="0"/>
              <w:keepLines w:val="0"/>
              <w:pageBreakBefore w:val="0"/>
              <w:widowControl w:val="0"/>
              <w:kinsoku/>
              <w:wordWrap/>
              <w:overflowPunct/>
              <w:topLinePunct w:val="0"/>
              <w:autoSpaceDE/>
              <w:autoSpaceDN/>
              <w:bidi w:val="0"/>
              <w:adjustRightInd/>
              <w:snapToGrid/>
              <w:textAlignment w:val="auto"/>
              <w:outlineLvl w:val="9"/>
              <w:rPr>
                <w:rFonts w:hint="eastAsia"/>
              </w:rPr>
            </w:pPr>
            <w:r>
              <w:rPr>
                <w:lang w:eastAsia="en-GB"/>
              </w:rPr>
              <w:t>Not defined</w:t>
            </w:r>
          </w:p>
        </w:tc>
        <w:tc>
          <w:tcPr>
            <w:tcW w:w="868" w:type="dxa"/>
            <w:vAlign w:val="center"/>
          </w:tcPr>
          <w:p>
            <w:pPr>
              <w:pStyle w:val="63"/>
              <w:keepNext w:val="0"/>
              <w:keepLines w:val="0"/>
              <w:pageBreakBefore w:val="0"/>
              <w:widowControl w:val="0"/>
              <w:kinsoku/>
              <w:wordWrap/>
              <w:overflowPunct/>
              <w:topLinePunct w:val="0"/>
              <w:autoSpaceDE/>
              <w:autoSpaceDN/>
              <w:bidi w:val="0"/>
              <w:adjustRightInd/>
              <w:snapToGrid/>
              <w:textAlignment w:val="auto"/>
              <w:outlineLvl w:val="9"/>
              <w:rPr>
                <w:rFonts w:hint="default" w:eastAsia="宋体"/>
                <w:lang w:val="en-US" w:eastAsia="zh-CN"/>
              </w:rPr>
            </w:pPr>
            <w:r>
              <w:rPr>
                <w:rFonts w:hint="eastAsia"/>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660" w:type="dxa"/>
            <w:gridSpan w:val="3"/>
            <w:vAlign w:val="top"/>
          </w:tcPr>
          <w:p>
            <w:pPr>
              <w:pStyle w:val="75"/>
              <w:rPr>
                <w:rFonts w:hint="default"/>
                <w:lang w:val="en-US" w:eastAsia="zh-CN"/>
              </w:rPr>
            </w:pPr>
            <w:r>
              <w:t>NOTE 1:</w:t>
            </w:r>
            <w:r>
              <w:tab/>
            </w:r>
            <w:r>
              <w:t>Applies for</w:t>
            </w:r>
            <w:r>
              <w:rPr>
                <w:rFonts w:hint="eastAsia"/>
                <w:lang w:eastAsia="zh-CN"/>
              </w:rPr>
              <w:t xml:space="preserve"> Band that the</w:t>
            </w:r>
            <w:r>
              <w:t xml:space="preserve"> upper frequency edge of the </w:t>
            </w:r>
            <w:r>
              <w:rPr>
                <w:rFonts w:hint="eastAsia"/>
                <w:lang w:val="en-US" w:eastAsia="zh-CN"/>
              </w:rPr>
              <w:t>D</w:t>
            </w:r>
            <w:r>
              <w:t>L Band</w:t>
            </w:r>
            <w:r>
              <w:rPr>
                <w:rFonts w:hint="eastAsia"/>
                <w:lang w:eastAsia="zh-CN"/>
              </w:rPr>
              <w:t xml:space="preserve"> </w:t>
            </w:r>
            <w:r>
              <w:rPr>
                <w:rFonts w:hint="eastAsia"/>
                <w:lang w:val="en-US" w:eastAsia="zh-CN"/>
              </w:rPr>
              <w:t>is between</w:t>
            </w:r>
            <w:r>
              <w:rPr>
                <w:rFonts w:hint="eastAsia"/>
                <w:lang w:eastAsia="zh-CN"/>
              </w:rPr>
              <w:t xml:space="preserve"> 2.</w:t>
            </w:r>
            <w:r>
              <w:rPr>
                <w:rFonts w:hint="eastAsia"/>
                <w:lang w:val="en-US" w:eastAsia="zh-CN"/>
              </w:rPr>
              <w:t>55</w:t>
            </w:r>
            <w:r>
              <w:rPr>
                <w:rFonts w:hint="eastAsia"/>
                <w:lang w:eastAsia="zh-CN"/>
              </w:rPr>
              <w:t xml:space="preserve"> GHz</w:t>
            </w:r>
            <w:r>
              <w:rPr>
                <w:rFonts w:hint="eastAsia"/>
                <w:lang w:val="en-US" w:eastAsia="zh-CN"/>
              </w:rPr>
              <w:t xml:space="preserve"> and 5.2GHz.</w:t>
            </w:r>
          </w:p>
          <w:p>
            <w:pPr>
              <w:pStyle w:val="75"/>
              <w:rPr>
                <w:rFonts w:hint="default"/>
                <w:lang w:val="en-US" w:eastAsia="zh-CN"/>
              </w:rPr>
            </w:pPr>
            <w:r>
              <w:t>NOTE 2:</w:t>
            </w:r>
            <w:r>
              <w:tab/>
            </w:r>
            <w:r>
              <w:t xml:space="preserve">Applies for Band </w:t>
            </w:r>
            <w:r>
              <w:rPr>
                <w:rFonts w:hint="eastAsia"/>
                <w:lang w:eastAsia="zh-CN"/>
              </w:rPr>
              <w:t>that the</w:t>
            </w:r>
            <w:r>
              <w:t xml:space="preserve"> upper frequency edge of the </w:t>
            </w:r>
            <w:r>
              <w:rPr>
                <w:rFonts w:hint="eastAsia"/>
                <w:lang w:val="en-US" w:eastAsia="zh-CN"/>
              </w:rPr>
              <w:t>D</w:t>
            </w:r>
            <w:r>
              <w:t>L Band</w:t>
            </w:r>
            <w:r>
              <w:rPr>
                <w:rFonts w:hint="eastAsia"/>
                <w:lang w:eastAsia="zh-CN"/>
              </w:rPr>
              <w:t xml:space="preserve"> more than 5.2 GHz</w:t>
            </w:r>
            <w:r>
              <w:rPr>
                <w:rFonts w:hint="eastAsia"/>
                <w:lang w:val="en-US" w:eastAsia="zh-CN"/>
              </w:rPr>
              <w:t>.</w:t>
            </w:r>
          </w:p>
          <w:p>
            <w:pPr>
              <w:pStyle w:val="75"/>
              <w:rPr>
                <w:lang w:eastAsia="en-GB"/>
              </w:rPr>
            </w:pPr>
            <w:r>
              <w:rPr>
                <w:lang w:eastAsia="en-GB"/>
              </w:rPr>
              <w:t xml:space="preserve">NOTE </w:t>
            </w:r>
            <w:r>
              <w:rPr>
                <w:rFonts w:hint="eastAsia"/>
                <w:lang w:val="en-US" w:eastAsia="zh-CN"/>
              </w:rPr>
              <w:t>3</w:t>
            </w:r>
            <w:r>
              <w:rPr>
                <w:lang w:eastAsia="en-GB"/>
              </w:rPr>
              <w:t>:</w:t>
            </w:r>
            <w:r>
              <w:rPr>
                <w:lang w:eastAsia="en-GB"/>
              </w:rPr>
              <w:tab/>
            </w:r>
            <w:r>
              <w:rPr>
                <w:lang w:eastAsia="en-GB"/>
              </w:rPr>
              <w:t xml:space="preserve">For BS capable of multi-band operation, the frequency ranges relating to the RF bandwidths of all supported </w:t>
            </w:r>
            <w:r>
              <w:rPr>
                <w:rFonts w:hint="eastAsia" w:eastAsia="宋体"/>
                <w:i/>
                <w:iCs/>
                <w:lang w:val="en-US" w:eastAsia="zh-CN"/>
              </w:rPr>
              <w:t xml:space="preserve">operating </w:t>
            </w:r>
            <w:r>
              <w:rPr>
                <w:i/>
                <w:iCs/>
                <w:lang w:eastAsia="en-GB"/>
              </w:rPr>
              <w:t>bands</w:t>
            </w:r>
            <w:r>
              <w:rPr>
                <w:lang w:eastAsia="en-GB"/>
              </w:rPr>
              <w:t xml:space="preserve"> apply.</w:t>
            </w:r>
          </w:p>
          <w:p>
            <w:pPr>
              <w:pStyle w:val="63"/>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lang w:val="en-US" w:eastAsia="zh-CN"/>
              </w:rPr>
            </w:pPr>
            <w:r>
              <w:rPr>
                <w:lang w:eastAsia="en-GB"/>
              </w:rPr>
              <w:t xml:space="preserve">NOTE </w:t>
            </w:r>
            <w:r>
              <w:rPr>
                <w:rFonts w:hint="eastAsia"/>
                <w:lang w:val="en-US" w:eastAsia="zh-CN"/>
              </w:rPr>
              <w:t>4</w:t>
            </w:r>
            <w:r>
              <w:rPr>
                <w:lang w:eastAsia="en-GB"/>
              </w:rPr>
              <w:t>:</w:t>
            </w:r>
            <w:r>
              <w:rPr>
                <w:lang w:eastAsia="en-GB"/>
              </w:rPr>
              <w:tab/>
            </w:r>
            <w:r>
              <w:t>Δf</w:t>
            </w:r>
            <w:r>
              <w:rPr>
                <w:rFonts w:hint="eastAsia"/>
                <w:vertAlign w:val="subscript"/>
                <w:lang w:val="en-US" w:eastAsia="zh-CN"/>
              </w:rPr>
              <w:t>OBUE</w:t>
            </w:r>
            <w:r>
              <w:rPr>
                <w:lang w:val="en-US" w:eastAsia="zh-CN"/>
              </w:rPr>
              <w:t xml:space="preserve"> is</w:t>
            </w:r>
            <w:r>
              <w:rPr>
                <w:lang w:eastAsia="en-GB"/>
              </w:rPr>
              <w:t xml:space="preserve"> defined in </w:t>
            </w:r>
            <w:r>
              <w:rPr>
                <w:rFonts w:hint="eastAsia" w:eastAsia="宋体"/>
                <w:lang w:val="en-US" w:eastAsia="zh-CN"/>
              </w:rPr>
              <w:t>subclause</w:t>
            </w:r>
            <w:r>
              <w:rPr>
                <w:lang w:eastAsia="en-GB"/>
              </w:rPr>
              <w:t xml:space="preserve"> 6.6.1 of TS 38</w:t>
            </w:r>
            <w:r>
              <w:rPr>
                <w:rFonts w:hint="eastAsia"/>
                <w:lang w:val="en-US" w:eastAsia="zh-CN"/>
              </w:rPr>
              <w:t>.</w:t>
            </w:r>
            <w:r>
              <w:rPr>
                <w:lang w:eastAsia="en-GB"/>
              </w:rPr>
              <w:t xml:space="preserve">104 </w:t>
            </w:r>
            <w:r>
              <w:rPr>
                <w:rFonts w:hint="eastAsia"/>
                <w:lang w:val="en-US" w:eastAsia="zh-CN"/>
              </w:rPr>
              <w:t>[2]</w:t>
            </w:r>
            <w:r>
              <w:rPr>
                <w:lang w:val="en-US" w:eastAsia="zh-CN"/>
              </w:rPr>
              <w:t>.</w:t>
            </w:r>
          </w:p>
        </w:tc>
      </w:tr>
    </w:tbl>
    <w:p>
      <w:pPr>
        <w:jc w:val="both"/>
        <w:rPr>
          <w:rFonts w:hint="default"/>
          <w:b/>
          <w:bCs/>
          <w:lang w:val="en-US" w:eastAsia="zh-CN"/>
        </w:rPr>
      </w:pPr>
    </w:p>
    <w:p>
      <w:pPr>
        <w:pStyle w:val="2"/>
        <w:numPr>
          <w:ilvl w:val="0"/>
          <w:numId w:val="0"/>
        </w:numPr>
        <w:tabs>
          <w:tab w:val="clear" w:pos="432"/>
        </w:tabs>
        <w:ind w:leftChars="0"/>
        <w:rPr>
          <w:rFonts w:cs="Arial"/>
          <w:lang w:eastAsia="zh-CN"/>
        </w:rPr>
      </w:pPr>
      <w:r>
        <w:rPr>
          <w:rFonts w:cs="Arial"/>
          <w:lang w:eastAsia="zh-CN"/>
        </w:rPr>
        <w:t>References</w:t>
      </w:r>
    </w:p>
    <w:p>
      <w:pPr>
        <w:pStyle w:val="93"/>
        <w:rPr>
          <w:rFonts w:hint="eastAsia"/>
          <w:lang w:val="en-US" w:eastAsia="zh-CN"/>
        </w:rPr>
      </w:pPr>
      <w:r>
        <w:rPr>
          <w:rFonts w:hint="eastAsia"/>
          <w:lang w:val="en-US" w:eastAsia="zh-CN"/>
        </w:rPr>
        <w:t>R4-1903561, discussion on frequency range for EMC RE test, ZTE</w:t>
      </w:r>
    </w:p>
    <w:p>
      <w:pPr>
        <w:keepLines/>
        <w:numPr>
          <w:ilvl w:val="0"/>
          <w:numId w:val="5"/>
        </w:numPr>
        <w:spacing w:after="0"/>
        <w:rPr>
          <w:rFonts w:hint="eastAsia" w:ascii="Times New Roman" w:hAnsi="Times New Roman" w:eastAsia="MS Mincho" w:cs="Times New Roman"/>
          <w:lang w:val="en-US" w:eastAsia="zh-CN" w:bidi="ar-SA"/>
        </w:rPr>
      </w:pPr>
      <w:r>
        <w:rPr>
          <w:rFonts w:hint="eastAsia" w:ascii="Times New Roman" w:hAnsi="Times New Roman" w:eastAsia="MS Mincho" w:cs="Times New Roman"/>
          <w:lang w:val="en-US" w:eastAsia="zh-CN" w:bidi="ar-SA"/>
        </w:rPr>
        <w:t>TS 38.113, 3rd Generation Partnership Project;Technical Specification Group Radio Access Network;NR;Base Station (BS) ElectroMagnetic Compatibility (EMC)</w:t>
      </w:r>
    </w:p>
    <w:p>
      <w:pPr>
        <w:pStyle w:val="93"/>
        <w:rPr>
          <w:rFonts w:hint="eastAsia"/>
          <w:lang w:val="en-US" w:eastAsia="zh-CN"/>
        </w:rPr>
      </w:pPr>
      <w:r>
        <w:rPr>
          <w:rFonts w:hint="eastAsia"/>
          <w:lang w:val="en-US" w:eastAsia="zh-CN"/>
        </w:rPr>
        <w:t>ITU-R  SM.329-12, Unwanted emissions in the spurious domain</w:t>
      </w:r>
    </w:p>
    <w:sectPr>
      <w:footnotePr>
        <w:numRestart w:val="eachSect"/>
      </w:footnotePr>
      <w:pgSz w:w="11907" w:h="16840"/>
      <w:pgMar w:top="794" w:right="794" w:bottom="993" w:left="794" w:header="680" w:footer="567" w:gutter="0"/>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28"/>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1B7127"/>
    <w:rsid w:val="0252547F"/>
    <w:rsid w:val="02C65454"/>
    <w:rsid w:val="031B13E8"/>
    <w:rsid w:val="031C4CB7"/>
    <w:rsid w:val="03AA77A6"/>
    <w:rsid w:val="04763DB6"/>
    <w:rsid w:val="047C7717"/>
    <w:rsid w:val="05963C46"/>
    <w:rsid w:val="07194BEB"/>
    <w:rsid w:val="081C34FB"/>
    <w:rsid w:val="092F347C"/>
    <w:rsid w:val="094D0600"/>
    <w:rsid w:val="0A2960EF"/>
    <w:rsid w:val="0ACC282C"/>
    <w:rsid w:val="0B790392"/>
    <w:rsid w:val="0BCD3713"/>
    <w:rsid w:val="0BE16E54"/>
    <w:rsid w:val="0C90604D"/>
    <w:rsid w:val="0CBC21A6"/>
    <w:rsid w:val="0D885B5C"/>
    <w:rsid w:val="0D8A1C03"/>
    <w:rsid w:val="0DA257A8"/>
    <w:rsid w:val="0DDE449E"/>
    <w:rsid w:val="0E763984"/>
    <w:rsid w:val="0EE8621E"/>
    <w:rsid w:val="0FBB53A3"/>
    <w:rsid w:val="10561550"/>
    <w:rsid w:val="108C25AB"/>
    <w:rsid w:val="11CE6ABD"/>
    <w:rsid w:val="12116912"/>
    <w:rsid w:val="1354200B"/>
    <w:rsid w:val="13867FC8"/>
    <w:rsid w:val="139C0323"/>
    <w:rsid w:val="14B029E2"/>
    <w:rsid w:val="15190137"/>
    <w:rsid w:val="15B13CC5"/>
    <w:rsid w:val="166C0F69"/>
    <w:rsid w:val="169E6FF0"/>
    <w:rsid w:val="17E751BA"/>
    <w:rsid w:val="18244A12"/>
    <w:rsid w:val="198F03F2"/>
    <w:rsid w:val="1A670C75"/>
    <w:rsid w:val="1ACC33F0"/>
    <w:rsid w:val="1B3060F9"/>
    <w:rsid w:val="1BB41235"/>
    <w:rsid w:val="1BDD4E03"/>
    <w:rsid w:val="1C3E5BEE"/>
    <w:rsid w:val="1D000C57"/>
    <w:rsid w:val="1D9D6581"/>
    <w:rsid w:val="1E0A3E36"/>
    <w:rsid w:val="1E4067BA"/>
    <w:rsid w:val="1E9A2C7A"/>
    <w:rsid w:val="1EC524B7"/>
    <w:rsid w:val="1F697F0E"/>
    <w:rsid w:val="1F825716"/>
    <w:rsid w:val="20484B28"/>
    <w:rsid w:val="205270E7"/>
    <w:rsid w:val="20B1597C"/>
    <w:rsid w:val="21107C64"/>
    <w:rsid w:val="21472AD0"/>
    <w:rsid w:val="21C109E9"/>
    <w:rsid w:val="21D67E69"/>
    <w:rsid w:val="225847F9"/>
    <w:rsid w:val="23597F29"/>
    <w:rsid w:val="23D7366F"/>
    <w:rsid w:val="24453753"/>
    <w:rsid w:val="24541EC9"/>
    <w:rsid w:val="27F926D9"/>
    <w:rsid w:val="288B0F82"/>
    <w:rsid w:val="28D353C7"/>
    <w:rsid w:val="28E63C49"/>
    <w:rsid w:val="29D25E5C"/>
    <w:rsid w:val="2A351867"/>
    <w:rsid w:val="2A96655F"/>
    <w:rsid w:val="2BA91907"/>
    <w:rsid w:val="2CD613D2"/>
    <w:rsid w:val="2D153347"/>
    <w:rsid w:val="2D2A1CF1"/>
    <w:rsid w:val="2D5362A4"/>
    <w:rsid w:val="2E0A65A8"/>
    <w:rsid w:val="2F7808DB"/>
    <w:rsid w:val="2FDD06D9"/>
    <w:rsid w:val="301820B3"/>
    <w:rsid w:val="30885017"/>
    <w:rsid w:val="31767A97"/>
    <w:rsid w:val="31C725D8"/>
    <w:rsid w:val="31C9011D"/>
    <w:rsid w:val="31E70315"/>
    <w:rsid w:val="32352858"/>
    <w:rsid w:val="32D2146A"/>
    <w:rsid w:val="33957597"/>
    <w:rsid w:val="33AC3E9B"/>
    <w:rsid w:val="346B6A82"/>
    <w:rsid w:val="35AB04BD"/>
    <w:rsid w:val="35DA3A34"/>
    <w:rsid w:val="377F030D"/>
    <w:rsid w:val="37935599"/>
    <w:rsid w:val="381708BF"/>
    <w:rsid w:val="38313DA5"/>
    <w:rsid w:val="3853777A"/>
    <w:rsid w:val="38B038AB"/>
    <w:rsid w:val="39BD0890"/>
    <w:rsid w:val="39E155EE"/>
    <w:rsid w:val="3BFC6876"/>
    <w:rsid w:val="3CAA1627"/>
    <w:rsid w:val="3D3210E1"/>
    <w:rsid w:val="3E2E3C0E"/>
    <w:rsid w:val="3E3602D5"/>
    <w:rsid w:val="3E486504"/>
    <w:rsid w:val="3EE436F8"/>
    <w:rsid w:val="405209B8"/>
    <w:rsid w:val="4146267E"/>
    <w:rsid w:val="414D70C7"/>
    <w:rsid w:val="422431F5"/>
    <w:rsid w:val="42395B94"/>
    <w:rsid w:val="424B558A"/>
    <w:rsid w:val="426B0E00"/>
    <w:rsid w:val="42AE4A66"/>
    <w:rsid w:val="42EE355E"/>
    <w:rsid w:val="43350342"/>
    <w:rsid w:val="43F45753"/>
    <w:rsid w:val="44204329"/>
    <w:rsid w:val="4502362E"/>
    <w:rsid w:val="451A2E72"/>
    <w:rsid w:val="452D7077"/>
    <w:rsid w:val="458D2E61"/>
    <w:rsid w:val="45D61D1B"/>
    <w:rsid w:val="465B1E95"/>
    <w:rsid w:val="467823B0"/>
    <w:rsid w:val="46ED68DD"/>
    <w:rsid w:val="476A29C5"/>
    <w:rsid w:val="477E46B5"/>
    <w:rsid w:val="48866A0F"/>
    <w:rsid w:val="4A015527"/>
    <w:rsid w:val="4ACB28B2"/>
    <w:rsid w:val="4B112B71"/>
    <w:rsid w:val="4BA52676"/>
    <w:rsid w:val="4C6B12AB"/>
    <w:rsid w:val="4C9C1426"/>
    <w:rsid w:val="4CBE1380"/>
    <w:rsid w:val="4D591010"/>
    <w:rsid w:val="4D8D0EED"/>
    <w:rsid w:val="4DE5383D"/>
    <w:rsid w:val="4DFC79D8"/>
    <w:rsid w:val="4E0B7835"/>
    <w:rsid w:val="4E6374A0"/>
    <w:rsid w:val="4EDC2D82"/>
    <w:rsid w:val="50101CBA"/>
    <w:rsid w:val="50502B31"/>
    <w:rsid w:val="52A4335A"/>
    <w:rsid w:val="536C066E"/>
    <w:rsid w:val="54966634"/>
    <w:rsid w:val="564A72F5"/>
    <w:rsid w:val="569C053A"/>
    <w:rsid w:val="571479C7"/>
    <w:rsid w:val="58BA16F6"/>
    <w:rsid w:val="596C256C"/>
    <w:rsid w:val="59CF3EB7"/>
    <w:rsid w:val="5A1C2F07"/>
    <w:rsid w:val="5AA73CA5"/>
    <w:rsid w:val="5AE67008"/>
    <w:rsid w:val="5B960428"/>
    <w:rsid w:val="5B9B36BD"/>
    <w:rsid w:val="5C844C0E"/>
    <w:rsid w:val="5D1150DF"/>
    <w:rsid w:val="5D5A5641"/>
    <w:rsid w:val="5D5E4B33"/>
    <w:rsid w:val="5DD85B0C"/>
    <w:rsid w:val="5E720882"/>
    <w:rsid w:val="5E8C6849"/>
    <w:rsid w:val="5F631A21"/>
    <w:rsid w:val="5FBE7D86"/>
    <w:rsid w:val="6120442E"/>
    <w:rsid w:val="61392C49"/>
    <w:rsid w:val="61E91DC1"/>
    <w:rsid w:val="61EB6DF6"/>
    <w:rsid w:val="620E7B7D"/>
    <w:rsid w:val="628B20F9"/>
    <w:rsid w:val="64733BB5"/>
    <w:rsid w:val="65ED19B5"/>
    <w:rsid w:val="672762CB"/>
    <w:rsid w:val="67A84266"/>
    <w:rsid w:val="68FE10CA"/>
    <w:rsid w:val="69954D46"/>
    <w:rsid w:val="6A650E24"/>
    <w:rsid w:val="6AB03EB3"/>
    <w:rsid w:val="6AEB526C"/>
    <w:rsid w:val="6C560643"/>
    <w:rsid w:val="6C5C4755"/>
    <w:rsid w:val="6CC47F20"/>
    <w:rsid w:val="6D4D4410"/>
    <w:rsid w:val="6D6A226E"/>
    <w:rsid w:val="6D9E564E"/>
    <w:rsid w:val="6DD637C2"/>
    <w:rsid w:val="6E647BAA"/>
    <w:rsid w:val="6E6C55F9"/>
    <w:rsid w:val="6E73050D"/>
    <w:rsid w:val="6ED8743F"/>
    <w:rsid w:val="6F166551"/>
    <w:rsid w:val="6F7A5B80"/>
    <w:rsid w:val="70994298"/>
    <w:rsid w:val="70A779CE"/>
    <w:rsid w:val="722464DD"/>
    <w:rsid w:val="727F06B0"/>
    <w:rsid w:val="72D43A0D"/>
    <w:rsid w:val="73451263"/>
    <w:rsid w:val="73653AD9"/>
    <w:rsid w:val="73AB6034"/>
    <w:rsid w:val="74977B2F"/>
    <w:rsid w:val="752B36B1"/>
    <w:rsid w:val="75A40C96"/>
    <w:rsid w:val="75D44E15"/>
    <w:rsid w:val="77BD025C"/>
    <w:rsid w:val="77C004C9"/>
    <w:rsid w:val="78852659"/>
    <w:rsid w:val="79070C00"/>
    <w:rsid w:val="792A63C1"/>
    <w:rsid w:val="797B72C3"/>
    <w:rsid w:val="7A0C6A43"/>
    <w:rsid w:val="7A4608C1"/>
    <w:rsid w:val="7A8B4ED6"/>
    <w:rsid w:val="7B882BF8"/>
    <w:rsid w:val="7BD75797"/>
    <w:rsid w:val="7C8034ED"/>
    <w:rsid w:val="7E2A7A73"/>
    <w:rsid w:val="7E2B52CB"/>
    <w:rsid w:val="7E67425C"/>
    <w:rsid w:val="7F29594F"/>
    <w:rsid w:val="7F583661"/>
    <w:rsid w:val="7F807809"/>
    <w:rsid w:val="7FDA26D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28</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cp:lastModifiedBy>
  <cp:lastPrinted>2015-01-14T18:53:00Z</cp:lastPrinted>
  <dcterms:modified xsi:type="dcterms:W3CDTF">2019-04-30T08:00:56Z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